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37" w:rsidRDefault="00CB2437" w:rsidP="007D6F9E">
      <w:pPr>
        <w:widowControl/>
        <w:tabs>
          <w:tab w:val="left" w:pos="980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033C5C" w:rsidRPr="008F2121" w:rsidRDefault="00033C5C" w:rsidP="00D31874">
      <w:pPr>
        <w:widowControl/>
        <w:tabs>
          <w:tab w:val="left" w:pos="980"/>
        </w:tabs>
        <w:jc w:val="both"/>
        <w:rPr>
          <w:rFonts w:ascii="Times New Roman" w:hAnsi="Times New Roman"/>
        </w:rPr>
      </w:pPr>
    </w:p>
    <w:p w:rsidR="00707E79" w:rsidRDefault="00CC5447" w:rsidP="00D31874">
      <w:pPr>
        <w:widowControl/>
        <w:ind w:right="6" w:firstLine="601"/>
        <w:jc w:val="both"/>
        <w:rPr>
          <w:rFonts w:ascii="Times New Roman" w:eastAsia="AdvTimes_rm" w:hAnsi="Times New Roman"/>
          <w:bCs/>
          <w:color w:val="auto"/>
          <w:szCs w:val="24"/>
        </w:rPr>
      </w:pPr>
      <w:r w:rsidRPr="00CC5447">
        <w:rPr>
          <w:rFonts w:ascii="Times New Roman" w:eastAsia="AdvTimes_rm" w:hAnsi="Times New Roman"/>
          <w:bCs/>
          <w:color w:val="auto"/>
          <w:szCs w:val="24"/>
        </w:rPr>
        <w:t>Li Deng received his BS degree from Tsinghua University</w:t>
      </w:r>
      <w:r w:rsidR="002137C9">
        <w:rPr>
          <w:rFonts w:ascii="Times New Roman" w:eastAsia="AdvTimes_rm" w:hAnsi="Times New Roman"/>
          <w:bCs/>
          <w:color w:val="auto"/>
          <w:szCs w:val="24"/>
        </w:rPr>
        <w:t xml:space="preserve"> (1987)</w:t>
      </w:r>
      <w:r w:rsidRPr="00CC5447">
        <w:rPr>
          <w:rFonts w:ascii="Times New Roman" w:eastAsia="AdvTimes_rm" w:hAnsi="Times New Roman"/>
          <w:bCs/>
          <w:color w:val="auto"/>
          <w:szCs w:val="24"/>
        </w:rPr>
        <w:t>, MS degree from University of Wisconsin-Milwaukee (1990) and Ph.D degr</w:t>
      </w:r>
      <w:r w:rsidR="00743468">
        <w:rPr>
          <w:rFonts w:ascii="Times New Roman" w:eastAsia="AdvTimes_rm" w:hAnsi="Times New Roman"/>
          <w:bCs/>
          <w:color w:val="auto"/>
          <w:szCs w:val="24"/>
        </w:rPr>
        <w:t>ee from Harvard University (1994</w:t>
      </w:r>
      <w:r w:rsidRPr="00CC5447">
        <w:rPr>
          <w:rFonts w:ascii="Times New Roman" w:eastAsia="AdvTimes_rm" w:hAnsi="Times New Roman"/>
          <w:bCs/>
          <w:color w:val="auto"/>
          <w:szCs w:val="24"/>
        </w:rPr>
        <w:t>). He carried out his postdoctoral studies at Harvard with Professors George Whitesides and Gregory Verdine (1995-1998) as an American Cancer Society Postdoctoral Fellow.</w:t>
      </w:r>
      <w:r>
        <w:rPr>
          <w:rFonts w:ascii="Times New Roman" w:eastAsia="AdvTimes_rm" w:hAnsi="Times New Roman"/>
          <w:bCs/>
          <w:color w:val="auto"/>
          <w:szCs w:val="24"/>
        </w:rPr>
        <w:t xml:space="preserve"> </w:t>
      </w:r>
      <w:r w:rsidRPr="00CC5447">
        <w:rPr>
          <w:rFonts w:ascii="Times New Roman" w:eastAsia="AdvTimes_rm" w:hAnsi="Times New Roman"/>
          <w:bCs/>
          <w:color w:val="auto"/>
          <w:szCs w:val="24"/>
        </w:rPr>
        <w:t>He joined Brandeis Universit</w:t>
      </w:r>
      <w:r>
        <w:rPr>
          <w:rFonts w:ascii="Times New Roman" w:eastAsia="AdvTimes_rm" w:hAnsi="Times New Roman"/>
          <w:bCs/>
          <w:color w:val="auto"/>
          <w:szCs w:val="24"/>
        </w:rPr>
        <w:t>y as an Assistant Professor of C</w:t>
      </w:r>
      <w:r w:rsidRPr="00CC5447">
        <w:rPr>
          <w:rFonts w:ascii="Times New Roman" w:eastAsia="AdvTimes_rm" w:hAnsi="Times New Roman"/>
          <w:bCs/>
          <w:color w:val="auto"/>
          <w:szCs w:val="24"/>
        </w:rPr>
        <w:t>hemistry in 1998. He became an Associate Profess</w:t>
      </w:r>
      <w:r>
        <w:rPr>
          <w:rFonts w:ascii="Times New Roman" w:eastAsia="AdvTimes_rm" w:hAnsi="Times New Roman"/>
          <w:bCs/>
          <w:color w:val="auto"/>
          <w:szCs w:val="24"/>
        </w:rPr>
        <w:t xml:space="preserve">or in 2003, a Professor </w:t>
      </w:r>
      <w:r w:rsidRPr="00CC5447">
        <w:rPr>
          <w:rFonts w:ascii="Times New Roman" w:eastAsia="AdvTimes_rm" w:hAnsi="Times New Roman"/>
          <w:bCs/>
          <w:color w:val="auto"/>
          <w:szCs w:val="24"/>
        </w:rPr>
        <w:t xml:space="preserve">and was named the Orrie Friedman Distinguished Professor of Chemistry in 2005.  </w:t>
      </w:r>
      <w:r>
        <w:rPr>
          <w:rFonts w:ascii="Times New Roman" w:eastAsia="AdvTimes_rm" w:hAnsi="Times New Roman"/>
          <w:bCs/>
          <w:color w:val="auto"/>
          <w:szCs w:val="24"/>
        </w:rPr>
        <w:t>He served as</w:t>
      </w:r>
      <w:r w:rsidRPr="00CC5447">
        <w:rPr>
          <w:rFonts w:ascii="Times New Roman" w:eastAsia="AdvTimes_rm" w:hAnsi="Times New Roman"/>
          <w:bCs/>
          <w:color w:val="auto"/>
          <w:szCs w:val="24"/>
        </w:rPr>
        <w:t xml:space="preserve"> the Chair of the Chemistry Department at Brandies University</w:t>
      </w:r>
      <w:r w:rsidR="00787A21">
        <w:rPr>
          <w:rFonts w:ascii="Times New Roman" w:eastAsia="AdvTimes_rm" w:hAnsi="Times New Roman"/>
          <w:bCs/>
          <w:color w:val="auto"/>
          <w:szCs w:val="24"/>
        </w:rPr>
        <w:t xml:space="preserve"> from 2010</w:t>
      </w:r>
      <w:r>
        <w:rPr>
          <w:rFonts w:ascii="Times New Roman" w:eastAsia="AdvTimes_rm" w:hAnsi="Times New Roman"/>
          <w:bCs/>
          <w:color w:val="auto"/>
          <w:szCs w:val="24"/>
        </w:rPr>
        <w:t>-2013</w:t>
      </w:r>
      <w:r w:rsidRPr="00CC5447">
        <w:rPr>
          <w:rFonts w:ascii="Times New Roman" w:eastAsia="AdvTimes_rm" w:hAnsi="Times New Roman"/>
          <w:bCs/>
          <w:color w:val="auto"/>
          <w:szCs w:val="24"/>
        </w:rPr>
        <w:t>.</w:t>
      </w:r>
    </w:p>
    <w:p w:rsidR="000548C2" w:rsidRPr="008F2121" w:rsidRDefault="000548C2" w:rsidP="000548C2">
      <w:pPr>
        <w:widowControl/>
        <w:ind w:right="6"/>
        <w:jc w:val="both"/>
        <w:rPr>
          <w:rFonts w:ascii="Times New Roman" w:hAnsi="Times New Roman"/>
          <w:color w:val="auto"/>
          <w:szCs w:val="24"/>
        </w:rPr>
      </w:pPr>
    </w:p>
    <w:p w:rsidR="00707E79" w:rsidRDefault="00707E79" w:rsidP="00D31874">
      <w:pPr>
        <w:pStyle w:val="BodyTextIndent"/>
        <w:spacing w:line="240" w:lineRule="auto"/>
        <w:ind w:firstLine="0"/>
        <w:rPr>
          <w:rFonts w:ascii="Times New Roman" w:eastAsia="MS Mincho" w:hAnsi="Times New Roman"/>
          <w:snapToGrid w:val="0"/>
        </w:rPr>
      </w:pPr>
    </w:p>
    <w:p w:rsidR="000548C2" w:rsidRDefault="000548C2" w:rsidP="00D31874">
      <w:pPr>
        <w:pStyle w:val="BodyTextIndent"/>
        <w:spacing w:line="240" w:lineRule="auto"/>
        <w:ind w:firstLine="0"/>
        <w:rPr>
          <w:rFonts w:ascii="Times New Roman" w:eastAsia="MS Mincho" w:hAnsi="Times New Roman"/>
          <w:snapToGrid w:val="0"/>
        </w:rPr>
      </w:pPr>
    </w:p>
    <w:p w:rsidR="000548C2" w:rsidRDefault="000548C2" w:rsidP="00D31874">
      <w:pPr>
        <w:pStyle w:val="BodyTextIndent"/>
        <w:spacing w:line="240" w:lineRule="auto"/>
        <w:ind w:firstLine="0"/>
        <w:rPr>
          <w:rFonts w:ascii="Times New Roman" w:eastAsia="MS Mincho" w:hAnsi="Times New Roman"/>
          <w:snapToGrid w:val="0"/>
        </w:rPr>
      </w:pPr>
    </w:p>
    <w:p w:rsidR="000548C2" w:rsidRDefault="000548C2" w:rsidP="00D31874">
      <w:pPr>
        <w:pStyle w:val="BodyTextIndent"/>
        <w:spacing w:line="240" w:lineRule="auto"/>
        <w:ind w:firstLine="0"/>
        <w:rPr>
          <w:rFonts w:ascii="Times New Roman" w:eastAsia="MS Mincho" w:hAnsi="Times New Roman"/>
          <w:snapToGrid w:val="0"/>
        </w:rPr>
      </w:pPr>
    </w:p>
    <w:p w:rsidR="000548C2" w:rsidRPr="008F2121" w:rsidRDefault="000548C2" w:rsidP="00D31874">
      <w:pPr>
        <w:pStyle w:val="BodyTextIndent"/>
        <w:spacing w:line="240" w:lineRule="auto"/>
        <w:ind w:firstLine="0"/>
        <w:rPr>
          <w:rFonts w:ascii="Times New Roman" w:eastAsia="MS Mincho" w:hAnsi="Times New Roman"/>
          <w:snapToGrid w:val="0"/>
        </w:rPr>
      </w:pPr>
    </w:p>
    <w:p w:rsidR="00707E79" w:rsidRPr="001256B0" w:rsidRDefault="004941C1" w:rsidP="00D31874">
      <w:pPr>
        <w:pStyle w:val="BodyText"/>
        <w:spacing w:line="240" w:lineRule="auto"/>
        <w:rPr>
          <w:rFonts w:ascii="Times New Roman" w:hAnsi="Times New Roman"/>
          <w:b/>
        </w:rPr>
      </w:pPr>
      <w:r w:rsidRPr="001256B0">
        <w:rPr>
          <w:rFonts w:ascii="Times New Roman" w:hAnsi="Times New Roman"/>
          <w:b/>
        </w:rPr>
        <w:t>Recent Publications</w:t>
      </w:r>
    </w:p>
    <w:p w:rsidR="00D31874" w:rsidRDefault="00FE5920" w:rsidP="00FE5920">
      <w:pPr>
        <w:pStyle w:val="Plain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920">
        <w:rPr>
          <w:rFonts w:ascii="Times New Roman" w:hAnsi="Times New Roman" w:cs="Times New Roman"/>
          <w:sz w:val="24"/>
          <w:szCs w:val="24"/>
        </w:rPr>
        <w:t>Catalytic Asymmetr</w:t>
      </w:r>
      <w:r>
        <w:rPr>
          <w:rFonts w:ascii="Times New Roman" w:hAnsi="Times New Roman" w:cs="Times New Roman"/>
          <w:sz w:val="24"/>
          <w:szCs w:val="24"/>
        </w:rPr>
        <w:t xml:space="preserve">ic Umpolung Reactions of Imine, Y. Wu, L. Hu, Z. Li, L. Deng, L. </w:t>
      </w:r>
      <w:r w:rsidRPr="00FE5920">
        <w:rPr>
          <w:rFonts w:ascii="Times New Roman" w:hAnsi="Times New Roman" w:cs="Times New Roman"/>
          <w:i/>
          <w:sz w:val="24"/>
          <w:szCs w:val="24"/>
        </w:rPr>
        <w:t>Nature</w:t>
      </w:r>
      <w:r w:rsidRPr="00FE5920">
        <w:rPr>
          <w:rFonts w:ascii="Times New Roman" w:hAnsi="Times New Roman" w:cs="Times New Roman"/>
          <w:sz w:val="24"/>
          <w:szCs w:val="24"/>
        </w:rPr>
        <w:t xml:space="preserve"> </w:t>
      </w:r>
      <w:r w:rsidRPr="00FE5920">
        <w:rPr>
          <w:rFonts w:ascii="Times New Roman" w:hAnsi="Times New Roman" w:cs="Times New Roman"/>
          <w:b/>
          <w:sz w:val="24"/>
          <w:szCs w:val="24"/>
        </w:rPr>
        <w:t>2015,</w:t>
      </w:r>
      <w:r w:rsidRPr="00FE5920">
        <w:rPr>
          <w:rFonts w:ascii="Times New Roman" w:hAnsi="Times New Roman" w:cs="Times New Roman"/>
          <w:sz w:val="24"/>
          <w:szCs w:val="24"/>
        </w:rPr>
        <w:t xml:space="preserve"> </w:t>
      </w:r>
      <w:r w:rsidRPr="00FE5920">
        <w:rPr>
          <w:rFonts w:ascii="Times New Roman" w:hAnsi="Times New Roman" w:cs="Times New Roman"/>
          <w:i/>
          <w:sz w:val="24"/>
          <w:szCs w:val="24"/>
        </w:rPr>
        <w:t>523,</w:t>
      </w:r>
      <w:r w:rsidRPr="00FE5920">
        <w:rPr>
          <w:rFonts w:ascii="Times New Roman" w:hAnsi="Times New Roman" w:cs="Times New Roman"/>
          <w:sz w:val="24"/>
          <w:szCs w:val="24"/>
        </w:rPr>
        <w:t xml:space="preserve"> 445-450. </w:t>
      </w:r>
    </w:p>
    <w:p w:rsidR="00FE5920" w:rsidRDefault="00FE5920" w:rsidP="00FE5920">
      <w:pPr>
        <w:pStyle w:val="Plain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920">
        <w:rPr>
          <w:rFonts w:ascii="Times New Roman" w:hAnsi="Times New Roman" w:cs="Times New Roman"/>
          <w:sz w:val="24"/>
          <w:szCs w:val="24"/>
        </w:rPr>
        <w:t>Asymmetric Synthesis of Trifluoromethylated Amines via Catalytic Enantiosel</w:t>
      </w:r>
      <w:r>
        <w:rPr>
          <w:rFonts w:ascii="Times New Roman" w:hAnsi="Times New Roman" w:cs="Times New Roman"/>
          <w:sz w:val="24"/>
          <w:szCs w:val="24"/>
        </w:rPr>
        <w:t>ective Isomerization of Imines, Y. Wu.</w:t>
      </w:r>
      <w:r w:rsidRPr="00FE5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L, Deng</w:t>
      </w:r>
      <w:r w:rsidRPr="00FE5920">
        <w:rPr>
          <w:rFonts w:ascii="Times New Roman" w:hAnsi="Times New Roman" w:cs="Times New Roman"/>
          <w:sz w:val="24"/>
          <w:szCs w:val="24"/>
        </w:rPr>
        <w:t xml:space="preserve">. </w:t>
      </w:r>
      <w:r w:rsidRPr="00FE5920">
        <w:rPr>
          <w:rFonts w:ascii="Times New Roman" w:hAnsi="Times New Roman" w:cs="Times New Roman"/>
          <w:i/>
          <w:sz w:val="24"/>
          <w:szCs w:val="24"/>
        </w:rPr>
        <w:t>J. Am. Chem. Soc.</w:t>
      </w:r>
      <w:r w:rsidRPr="00FE5920">
        <w:rPr>
          <w:rFonts w:ascii="Times New Roman" w:hAnsi="Times New Roman" w:cs="Times New Roman"/>
          <w:sz w:val="24"/>
          <w:szCs w:val="24"/>
        </w:rPr>
        <w:t xml:space="preserve"> </w:t>
      </w:r>
      <w:r w:rsidRPr="00FE5920">
        <w:rPr>
          <w:rFonts w:ascii="Times New Roman" w:hAnsi="Times New Roman" w:cs="Times New Roman"/>
          <w:b/>
          <w:sz w:val="24"/>
          <w:szCs w:val="24"/>
        </w:rPr>
        <w:t>2012,</w:t>
      </w:r>
      <w:r w:rsidRPr="00FE5920">
        <w:rPr>
          <w:rFonts w:ascii="Times New Roman" w:hAnsi="Times New Roman" w:cs="Times New Roman"/>
          <w:sz w:val="24"/>
          <w:szCs w:val="24"/>
        </w:rPr>
        <w:t xml:space="preserve"> </w:t>
      </w:r>
      <w:r w:rsidRPr="00FE5920">
        <w:rPr>
          <w:rFonts w:ascii="Times New Roman" w:hAnsi="Times New Roman" w:cs="Times New Roman"/>
          <w:i/>
          <w:sz w:val="24"/>
          <w:szCs w:val="24"/>
        </w:rPr>
        <w:t>134,</w:t>
      </w:r>
      <w:r w:rsidRPr="00FE5920">
        <w:rPr>
          <w:rFonts w:ascii="Times New Roman" w:hAnsi="Times New Roman" w:cs="Times New Roman"/>
          <w:sz w:val="24"/>
          <w:szCs w:val="24"/>
        </w:rPr>
        <w:t xml:space="preserve"> 14334–14337.</w:t>
      </w:r>
    </w:p>
    <w:p w:rsidR="00FE5920" w:rsidRDefault="00FE5920" w:rsidP="00FE5920">
      <w:pPr>
        <w:pStyle w:val="Plain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920">
        <w:rPr>
          <w:rFonts w:ascii="Times New Roman" w:hAnsi="Times New Roman" w:cs="Times New Roman"/>
          <w:sz w:val="24"/>
          <w:szCs w:val="24"/>
        </w:rPr>
        <w:t>Asymmetric Olefin Isomerization via Proton Transfer Catalysis with</w:t>
      </w:r>
      <w:r>
        <w:rPr>
          <w:rFonts w:ascii="Times New Roman" w:hAnsi="Times New Roman" w:cs="Times New Roman"/>
          <w:sz w:val="24"/>
          <w:szCs w:val="24"/>
        </w:rPr>
        <w:t xml:space="preserve"> an Organic Molecule,</w:t>
      </w:r>
      <w:r w:rsidRPr="00FE5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Y. Wu,</w:t>
      </w:r>
      <w:r w:rsidRPr="00FE5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FE5920">
        <w:rPr>
          <w:rFonts w:ascii="Times New Roman" w:hAnsi="Times New Roman" w:cs="Times New Roman"/>
          <w:sz w:val="24"/>
          <w:szCs w:val="24"/>
        </w:rPr>
        <w:t xml:space="preserve">Singh, </w:t>
      </w:r>
      <w:r>
        <w:rPr>
          <w:rFonts w:ascii="Times New Roman" w:hAnsi="Times New Roman" w:cs="Times New Roman"/>
          <w:sz w:val="24"/>
          <w:szCs w:val="24"/>
        </w:rPr>
        <w:t>L. Deng</w:t>
      </w:r>
      <w:r w:rsidRPr="00FE5920">
        <w:rPr>
          <w:rFonts w:ascii="Times New Roman" w:hAnsi="Times New Roman" w:cs="Times New Roman"/>
          <w:sz w:val="24"/>
          <w:szCs w:val="24"/>
        </w:rPr>
        <w:t xml:space="preserve">. </w:t>
      </w:r>
      <w:r w:rsidRPr="00FE5920">
        <w:rPr>
          <w:rFonts w:ascii="Times New Roman" w:hAnsi="Times New Roman" w:cs="Times New Roman"/>
          <w:i/>
          <w:sz w:val="24"/>
          <w:szCs w:val="24"/>
        </w:rPr>
        <w:t>J. Am. Chem. Soc.</w:t>
      </w:r>
      <w:r w:rsidRPr="00FE5920">
        <w:rPr>
          <w:rFonts w:ascii="Times New Roman" w:hAnsi="Times New Roman" w:cs="Times New Roman"/>
          <w:sz w:val="24"/>
          <w:szCs w:val="24"/>
        </w:rPr>
        <w:t xml:space="preserve"> </w:t>
      </w:r>
      <w:r w:rsidRPr="00FE5920">
        <w:rPr>
          <w:rFonts w:ascii="Times New Roman" w:hAnsi="Times New Roman" w:cs="Times New Roman"/>
          <w:b/>
          <w:sz w:val="24"/>
          <w:szCs w:val="24"/>
        </w:rPr>
        <w:t>2011,</w:t>
      </w:r>
      <w:r w:rsidRPr="00FE5920">
        <w:rPr>
          <w:rFonts w:ascii="Times New Roman" w:hAnsi="Times New Roman" w:cs="Times New Roman"/>
          <w:sz w:val="24"/>
          <w:szCs w:val="24"/>
        </w:rPr>
        <w:t xml:space="preserve"> </w:t>
      </w:r>
      <w:r w:rsidRPr="00FE5920">
        <w:rPr>
          <w:rFonts w:ascii="Times New Roman" w:hAnsi="Times New Roman" w:cs="Times New Roman"/>
          <w:i/>
          <w:sz w:val="24"/>
          <w:szCs w:val="24"/>
        </w:rPr>
        <w:t>133,</w:t>
      </w:r>
      <w:r w:rsidRPr="00FE5920">
        <w:rPr>
          <w:rFonts w:ascii="Times New Roman" w:hAnsi="Times New Roman" w:cs="Times New Roman"/>
          <w:sz w:val="24"/>
          <w:szCs w:val="24"/>
        </w:rPr>
        <w:t xml:space="preserve"> 12458-12461.</w:t>
      </w:r>
    </w:p>
    <w:p w:rsidR="00FE5920" w:rsidRPr="00FE5920" w:rsidRDefault="00FE5920" w:rsidP="00FE5920">
      <w:pPr>
        <w:pStyle w:val="ListParagraph"/>
        <w:numPr>
          <w:ilvl w:val="0"/>
          <w:numId w:val="14"/>
        </w:numPr>
        <w:rPr>
          <w:rFonts w:ascii="Times New Roman" w:eastAsia="MS Gothic" w:hAnsi="Times New Roman"/>
          <w:color w:val="auto"/>
          <w:kern w:val="2"/>
          <w:szCs w:val="24"/>
        </w:rPr>
      </w:pPr>
      <w:r w:rsidRPr="00FE5920">
        <w:rPr>
          <w:rFonts w:ascii="Times New Roman" w:eastAsia="MS Gothic" w:hAnsi="Times New Roman"/>
          <w:color w:val="auto"/>
          <w:kern w:val="2"/>
          <w:szCs w:val="24"/>
        </w:rPr>
        <w:t xml:space="preserve">Highly Enantioselective Conjugate Addition of Malonate and </w:t>
      </w:r>
      <w:r w:rsidRPr="002137C9">
        <w:rPr>
          <w:rFonts w:ascii="Symbol" w:eastAsia="MS Gothic" w:hAnsi="Symbol"/>
          <w:color w:val="auto"/>
          <w:kern w:val="2"/>
          <w:szCs w:val="24"/>
        </w:rPr>
        <w:t></w:t>
      </w:r>
      <w:r w:rsidRPr="00FE5920">
        <w:rPr>
          <w:rFonts w:ascii="Times New Roman" w:eastAsia="MS Gothic" w:hAnsi="Times New Roman"/>
          <w:color w:val="auto"/>
          <w:kern w:val="2"/>
          <w:szCs w:val="24"/>
        </w:rPr>
        <w:t xml:space="preserve">-Ketoester to Nitroalkenes: Asymmetric C-C Bond Formation via New Bifunctional Organic Catalysts Based </w:t>
      </w:r>
      <w:r>
        <w:rPr>
          <w:rFonts w:ascii="Times New Roman" w:eastAsia="MS Gothic" w:hAnsi="Times New Roman"/>
          <w:color w:val="auto"/>
          <w:kern w:val="2"/>
          <w:szCs w:val="24"/>
        </w:rPr>
        <w:t>on Cinchona Alkaloids,</w:t>
      </w:r>
      <w:r w:rsidRPr="00FE5920">
        <w:rPr>
          <w:rFonts w:ascii="Times New Roman" w:eastAsia="MS Gothic" w:hAnsi="Times New Roman"/>
          <w:color w:val="auto"/>
          <w:kern w:val="2"/>
          <w:szCs w:val="24"/>
        </w:rPr>
        <w:t xml:space="preserve"> </w:t>
      </w:r>
      <w:r>
        <w:rPr>
          <w:rFonts w:ascii="Times New Roman" w:eastAsia="MS Gothic" w:hAnsi="Times New Roman"/>
          <w:color w:val="auto"/>
          <w:kern w:val="2"/>
          <w:szCs w:val="24"/>
        </w:rPr>
        <w:t xml:space="preserve">H. </w:t>
      </w:r>
      <w:r w:rsidRPr="00FE5920">
        <w:rPr>
          <w:rFonts w:ascii="Times New Roman" w:eastAsia="MS Gothic" w:hAnsi="Times New Roman"/>
          <w:color w:val="auto"/>
          <w:kern w:val="2"/>
          <w:szCs w:val="24"/>
        </w:rPr>
        <w:t xml:space="preserve">Li, </w:t>
      </w:r>
      <w:r>
        <w:rPr>
          <w:rFonts w:ascii="Times New Roman" w:eastAsia="MS Gothic" w:hAnsi="Times New Roman"/>
          <w:color w:val="auto"/>
          <w:kern w:val="2"/>
          <w:szCs w:val="24"/>
        </w:rPr>
        <w:t>Y.</w:t>
      </w:r>
      <w:r w:rsidRPr="00FE5920">
        <w:rPr>
          <w:rFonts w:ascii="Times New Roman" w:eastAsia="MS Gothic" w:hAnsi="Times New Roman"/>
          <w:color w:val="auto"/>
          <w:kern w:val="2"/>
          <w:szCs w:val="24"/>
        </w:rPr>
        <w:t xml:space="preserve"> Wang, </w:t>
      </w:r>
      <w:r>
        <w:rPr>
          <w:rFonts w:ascii="Times New Roman" w:eastAsia="MS Gothic" w:hAnsi="Times New Roman"/>
          <w:color w:val="auto"/>
          <w:kern w:val="2"/>
          <w:szCs w:val="24"/>
        </w:rPr>
        <w:t>L.</w:t>
      </w:r>
      <w:r w:rsidRPr="00FE5920">
        <w:rPr>
          <w:rFonts w:ascii="Times New Roman" w:eastAsia="MS Gothic" w:hAnsi="Times New Roman"/>
          <w:color w:val="auto"/>
          <w:kern w:val="2"/>
          <w:szCs w:val="24"/>
        </w:rPr>
        <w:t xml:space="preserve"> Tang, </w:t>
      </w:r>
      <w:r>
        <w:rPr>
          <w:rFonts w:ascii="Times New Roman" w:eastAsia="MS Gothic" w:hAnsi="Times New Roman"/>
          <w:color w:val="auto"/>
          <w:kern w:val="2"/>
          <w:szCs w:val="24"/>
        </w:rPr>
        <w:t xml:space="preserve">L. Deng, L. </w:t>
      </w:r>
      <w:r w:rsidRPr="00FE5920">
        <w:rPr>
          <w:rFonts w:ascii="Times New Roman" w:eastAsia="MS Gothic" w:hAnsi="Times New Roman"/>
          <w:i/>
          <w:color w:val="auto"/>
          <w:kern w:val="2"/>
          <w:szCs w:val="24"/>
        </w:rPr>
        <w:t>J. Am. Chem. Soc.</w:t>
      </w:r>
      <w:r w:rsidRPr="00FE5920">
        <w:rPr>
          <w:rFonts w:ascii="Times New Roman" w:eastAsia="MS Gothic" w:hAnsi="Times New Roman"/>
          <w:color w:val="auto"/>
          <w:kern w:val="2"/>
          <w:szCs w:val="24"/>
        </w:rPr>
        <w:t xml:space="preserve"> </w:t>
      </w:r>
      <w:r w:rsidRPr="00FE5920">
        <w:rPr>
          <w:rFonts w:ascii="Times New Roman" w:eastAsia="MS Gothic" w:hAnsi="Times New Roman"/>
          <w:b/>
          <w:color w:val="auto"/>
          <w:kern w:val="2"/>
          <w:szCs w:val="24"/>
        </w:rPr>
        <w:t>2004,</w:t>
      </w:r>
      <w:r w:rsidRPr="00FE5920">
        <w:rPr>
          <w:rFonts w:ascii="Times New Roman" w:eastAsia="MS Gothic" w:hAnsi="Times New Roman"/>
          <w:color w:val="auto"/>
          <w:kern w:val="2"/>
          <w:szCs w:val="24"/>
        </w:rPr>
        <w:t xml:space="preserve"> </w:t>
      </w:r>
      <w:r w:rsidRPr="00FE5920">
        <w:rPr>
          <w:rFonts w:ascii="Times New Roman" w:eastAsia="MS Gothic" w:hAnsi="Times New Roman"/>
          <w:i/>
          <w:color w:val="auto"/>
          <w:kern w:val="2"/>
          <w:szCs w:val="24"/>
        </w:rPr>
        <w:t>126,</w:t>
      </w:r>
      <w:r w:rsidRPr="00FE5920">
        <w:rPr>
          <w:rFonts w:ascii="Times New Roman" w:eastAsia="MS Gothic" w:hAnsi="Times New Roman"/>
          <w:color w:val="auto"/>
          <w:kern w:val="2"/>
          <w:szCs w:val="24"/>
        </w:rPr>
        <w:t xml:space="preserve"> 9906-9907.</w:t>
      </w:r>
    </w:p>
    <w:p w:rsidR="00FE5920" w:rsidRPr="008F2121" w:rsidRDefault="00FE5920" w:rsidP="00FE5920">
      <w:pPr>
        <w:pStyle w:val="Plain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920">
        <w:rPr>
          <w:rFonts w:ascii="Times New Roman" w:hAnsi="Times New Roman" w:cs="Times New Roman"/>
          <w:sz w:val="24"/>
          <w:szCs w:val="24"/>
        </w:rPr>
        <w:t>Asymmetric Organic Catalysis wi</w:t>
      </w:r>
      <w:r>
        <w:rPr>
          <w:rFonts w:ascii="Times New Roman" w:hAnsi="Times New Roman" w:cs="Times New Roman"/>
          <w:sz w:val="24"/>
          <w:szCs w:val="24"/>
        </w:rPr>
        <w:t>th Modified Cinchona Alkaloids,</w:t>
      </w:r>
      <w:r w:rsidRPr="00FE5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S.-K,</w:t>
      </w:r>
      <w:r w:rsidRPr="00FE5920">
        <w:rPr>
          <w:rFonts w:ascii="Times New Roman" w:hAnsi="Times New Roman" w:cs="Times New Roman"/>
          <w:sz w:val="24"/>
          <w:szCs w:val="24"/>
        </w:rPr>
        <w:t xml:space="preserve">Tian, </w:t>
      </w:r>
      <w:r>
        <w:rPr>
          <w:rFonts w:ascii="Times New Roman" w:hAnsi="Times New Roman" w:cs="Times New Roman"/>
          <w:sz w:val="24"/>
          <w:szCs w:val="24"/>
        </w:rPr>
        <w:t>Y.</w:t>
      </w:r>
      <w:r w:rsidRPr="00FE5920">
        <w:rPr>
          <w:rFonts w:ascii="Times New Roman" w:hAnsi="Times New Roman" w:cs="Times New Roman"/>
          <w:sz w:val="24"/>
          <w:szCs w:val="24"/>
        </w:rPr>
        <w:t xml:space="preserve"> Chen, </w:t>
      </w:r>
      <w:r>
        <w:rPr>
          <w:rFonts w:ascii="Times New Roman" w:hAnsi="Times New Roman" w:cs="Times New Roman"/>
          <w:sz w:val="24"/>
          <w:szCs w:val="24"/>
        </w:rPr>
        <w:t>J.</w:t>
      </w:r>
      <w:r w:rsidRPr="00FE5920">
        <w:rPr>
          <w:rFonts w:ascii="Times New Roman" w:hAnsi="Times New Roman" w:cs="Times New Roman"/>
          <w:sz w:val="24"/>
          <w:szCs w:val="24"/>
        </w:rPr>
        <w:t xml:space="preserve"> Hang, </w:t>
      </w:r>
      <w:r>
        <w:rPr>
          <w:rFonts w:ascii="Times New Roman" w:hAnsi="Times New Roman" w:cs="Times New Roman"/>
          <w:sz w:val="24"/>
          <w:szCs w:val="24"/>
        </w:rPr>
        <w:t>L.</w:t>
      </w:r>
      <w:r w:rsidRPr="00FE5920">
        <w:rPr>
          <w:rFonts w:ascii="Times New Roman" w:hAnsi="Times New Roman" w:cs="Times New Roman"/>
          <w:sz w:val="24"/>
          <w:szCs w:val="24"/>
        </w:rPr>
        <w:t xml:space="preserve"> Tang,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FE5920">
        <w:rPr>
          <w:rFonts w:ascii="Times New Roman" w:hAnsi="Times New Roman" w:cs="Times New Roman"/>
          <w:sz w:val="24"/>
          <w:szCs w:val="24"/>
        </w:rPr>
        <w:t xml:space="preserve">McDaid, </w:t>
      </w:r>
      <w:r>
        <w:rPr>
          <w:rFonts w:ascii="Times New Roman" w:hAnsi="Times New Roman" w:cs="Times New Roman"/>
          <w:sz w:val="24"/>
          <w:szCs w:val="24"/>
        </w:rPr>
        <w:t>L, Deng</w:t>
      </w:r>
      <w:r w:rsidRPr="00FE5920">
        <w:rPr>
          <w:rFonts w:ascii="Times New Roman" w:hAnsi="Times New Roman" w:cs="Times New Roman"/>
          <w:sz w:val="24"/>
          <w:szCs w:val="24"/>
        </w:rPr>
        <w:t xml:space="preserve">. </w:t>
      </w:r>
      <w:r w:rsidRPr="00FE5920">
        <w:rPr>
          <w:rFonts w:ascii="Times New Roman" w:hAnsi="Times New Roman" w:cs="Times New Roman"/>
          <w:i/>
          <w:sz w:val="24"/>
          <w:szCs w:val="24"/>
        </w:rPr>
        <w:t>Accounts of Chemical Research</w:t>
      </w:r>
      <w:r w:rsidRPr="00FE5920">
        <w:rPr>
          <w:rFonts w:ascii="Times New Roman" w:hAnsi="Times New Roman" w:cs="Times New Roman"/>
          <w:sz w:val="24"/>
          <w:szCs w:val="24"/>
        </w:rPr>
        <w:t xml:space="preserve"> </w:t>
      </w:r>
      <w:r w:rsidRPr="00FE5920">
        <w:rPr>
          <w:rFonts w:ascii="Times New Roman" w:hAnsi="Times New Roman" w:cs="Times New Roman"/>
          <w:b/>
          <w:sz w:val="24"/>
          <w:szCs w:val="24"/>
        </w:rPr>
        <w:t>2004,</w:t>
      </w:r>
      <w:r w:rsidRPr="00FE5920">
        <w:rPr>
          <w:rFonts w:ascii="Times New Roman" w:hAnsi="Times New Roman" w:cs="Times New Roman"/>
          <w:sz w:val="24"/>
          <w:szCs w:val="24"/>
        </w:rPr>
        <w:t xml:space="preserve"> </w:t>
      </w:r>
      <w:r w:rsidRPr="00FE5920">
        <w:rPr>
          <w:rFonts w:ascii="Times New Roman" w:hAnsi="Times New Roman" w:cs="Times New Roman"/>
          <w:i/>
          <w:sz w:val="24"/>
          <w:szCs w:val="24"/>
        </w:rPr>
        <w:t>37,</w:t>
      </w:r>
      <w:r w:rsidRPr="00FE5920">
        <w:rPr>
          <w:rFonts w:ascii="Times New Roman" w:hAnsi="Times New Roman" w:cs="Times New Roman"/>
          <w:sz w:val="24"/>
          <w:szCs w:val="24"/>
        </w:rPr>
        <w:t xml:space="preserve"> 621-631.</w:t>
      </w:r>
    </w:p>
    <w:p w:rsidR="008E2210" w:rsidRDefault="008E2210" w:rsidP="00D318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31874" w:rsidRDefault="00D31874" w:rsidP="006C57B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53E48" w:rsidRDefault="00B53E48" w:rsidP="00B53E48">
      <w:pPr>
        <w:tabs>
          <w:tab w:val="left" w:pos="2730"/>
        </w:tabs>
        <w:rPr>
          <w:rFonts w:ascii="Times New Roman" w:hAnsi="Times New Roman"/>
        </w:rPr>
      </w:pPr>
    </w:p>
    <w:p w:rsidR="00AD36DD" w:rsidRPr="00AD36DD" w:rsidRDefault="00AD36DD" w:rsidP="00B53E48">
      <w:pPr>
        <w:tabs>
          <w:tab w:val="left" w:pos="2730"/>
        </w:tabs>
        <w:rPr>
          <w:rFonts w:ascii="Times New Roman" w:hAnsi="Times New Roman"/>
        </w:rPr>
      </w:pPr>
    </w:p>
    <w:p w:rsidR="00D31874" w:rsidRPr="008F2121" w:rsidRDefault="00D31874" w:rsidP="00D318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31874" w:rsidRDefault="00D31874">
      <w:pPr>
        <w:widowControl/>
        <w:autoSpaceDE/>
        <w:autoSpaceDN/>
        <w:adjustRightInd/>
        <w:rPr>
          <w:rFonts w:ascii="Times New Roman" w:eastAsia="MS Gothic" w:hAnsi="Times New Roman"/>
          <w:b/>
          <w:sz w:val="32"/>
          <w:szCs w:val="32"/>
        </w:rPr>
      </w:pPr>
      <w:r>
        <w:rPr>
          <w:rFonts w:ascii="Times New Roman" w:eastAsia="MS Gothic" w:hAnsi="Times New Roman"/>
          <w:b/>
          <w:sz w:val="32"/>
          <w:szCs w:val="32"/>
        </w:rPr>
        <w:br w:type="page"/>
      </w:r>
    </w:p>
    <w:p w:rsidR="00677764" w:rsidRDefault="00A11F63" w:rsidP="00677764">
      <w:pPr>
        <w:spacing w:line="320" w:lineRule="exact"/>
        <w:jc w:val="center"/>
        <w:rPr>
          <w:rFonts w:ascii="Times New Roman" w:eastAsia="MS Gothic" w:hAnsi="Times New Roman"/>
          <w:b/>
          <w:sz w:val="32"/>
          <w:szCs w:val="32"/>
        </w:rPr>
      </w:pPr>
      <w:r>
        <w:rPr>
          <w:rFonts w:ascii="Times New Roman" w:eastAsia="MS Gothic" w:hAnsi="Times New Roman"/>
          <w:b/>
          <w:sz w:val="32"/>
          <w:szCs w:val="32"/>
        </w:rPr>
        <w:lastRenderedPageBreak/>
        <w:t>Activation of Nucleophiles for Asymmetric Reactions with Organic Molecules</w:t>
      </w:r>
    </w:p>
    <w:p w:rsidR="00EC39EC" w:rsidRDefault="00EC39EC" w:rsidP="00677764">
      <w:pPr>
        <w:spacing w:line="320" w:lineRule="exact"/>
        <w:jc w:val="center"/>
        <w:rPr>
          <w:rFonts w:ascii="Times New Roman" w:eastAsia="MS Gothic" w:hAnsi="Times New Roman"/>
          <w:b/>
          <w:sz w:val="32"/>
          <w:szCs w:val="32"/>
        </w:rPr>
      </w:pPr>
    </w:p>
    <w:p w:rsidR="00BA6D77" w:rsidRPr="008F2121" w:rsidRDefault="00EC39EC" w:rsidP="00BC2B07">
      <w:pPr>
        <w:spacing w:line="28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 Deng</w:t>
      </w:r>
    </w:p>
    <w:p w:rsidR="00BA6D77" w:rsidRPr="008F2121" w:rsidRDefault="00EC39EC" w:rsidP="00BC2B07">
      <w:pPr>
        <w:spacing w:line="280" w:lineRule="exact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</w:rPr>
        <w:t>Department of Chemistry, Brandeis University, 415 South St., Waltham, MA 02454, USA</w:t>
      </w:r>
    </w:p>
    <w:p w:rsidR="00BA6D77" w:rsidRPr="008F2121" w:rsidRDefault="00EC39EC" w:rsidP="00BC2B07">
      <w:pPr>
        <w:spacing w:line="280" w:lineRule="exac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deng@brandeis.edu</w:t>
      </w:r>
    </w:p>
    <w:p w:rsidR="00EC39EC" w:rsidRDefault="00EC39EC" w:rsidP="005C40E4">
      <w:pPr>
        <w:pStyle w:val="TL-text"/>
        <w:widowControl w:val="0"/>
        <w:tabs>
          <w:tab w:val="left" w:pos="6060"/>
        </w:tabs>
        <w:spacing w:line="240" w:lineRule="auto"/>
        <w:ind w:firstLine="482"/>
        <w:rPr>
          <w:rFonts w:ascii="Times New Roman" w:hAnsi="Times New Roman" w:cs="Times New Roman"/>
          <w:szCs w:val="24"/>
        </w:rPr>
      </w:pPr>
    </w:p>
    <w:p w:rsidR="008066A5" w:rsidRPr="008F2121" w:rsidRDefault="00EC39EC" w:rsidP="005C40E4">
      <w:pPr>
        <w:pStyle w:val="TL-text"/>
        <w:widowControl w:val="0"/>
        <w:tabs>
          <w:tab w:val="left" w:pos="6060"/>
        </w:tabs>
        <w:spacing w:line="240" w:lineRule="auto"/>
        <w:ind w:firstLine="482"/>
        <w:rPr>
          <w:rFonts w:ascii="Times New Roman" w:hAnsi="Times New Roman" w:cs="Times New Roman"/>
          <w:szCs w:val="24"/>
        </w:rPr>
      </w:pPr>
      <w:r w:rsidRPr="00EC39EC">
        <w:rPr>
          <w:rFonts w:ascii="Times New Roman" w:hAnsi="Times New Roman" w:cs="Times New Roman"/>
          <w:szCs w:val="24"/>
        </w:rPr>
        <w:t xml:space="preserve">Organic molecule-mediated selective catalysis (i.e. selective organocatalysis) has evolved into a generally applicable, powerful strategy for asymmetric synthesis over the last several years.  The advent of selective organocatalysis is marked by the discovery and development of a variety of fundamentally important modes of catalysis by chiral small molecules, which </w:t>
      </w:r>
      <w:r>
        <w:rPr>
          <w:rFonts w:ascii="Times New Roman" w:hAnsi="Times New Roman" w:cs="Times New Roman"/>
          <w:szCs w:val="24"/>
        </w:rPr>
        <w:t>represented by</w:t>
      </w:r>
      <w:r w:rsidRPr="00EC39EC">
        <w:rPr>
          <w:rFonts w:ascii="Times New Roman" w:hAnsi="Times New Roman" w:cs="Times New Roman"/>
          <w:szCs w:val="24"/>
        </w:rPr>
        <w:t xml:space="preserve"> hydrogen-bond donor catalysis by chiral thioureas, general base catalysis by cinchona alkaloids, iminium as well as enamine catalysis by prolines and synthetic chiral amines, </w:t>
      </w:r>
      <w:r>
        <w:rPr>
          <w:rFonts w:ascii="Times New Roman" w:hAnsi="Times New Roman" w:cs="Times New Roman"/>
          <w:szCs w:val="24"/>
        </w:rPr>
        <w:t xml:space="preserve">chiral </w:t>
      </w:r>
      <w:r w:rsidRPr="00EC39EC">
        <w:rPr>
          <w:rFonts w:ascii="Times New Roman" w:hAnsi="Times New Roman" w:cs="Times New Roman"/>
          <w:szCs w:val="24"/>
        </w:rPr>
        <w:t xml:space="preserve">phase transfer catalysis, </w:t>
      </w:r>
      <w:r>
        <w:rPr>
          <w:rFonts w:ascii="Times New Roman" w:hAnsi="Times New Roman" w:cs="Times New Roman"/>
          <w:szCs w:val="24"/>
        </w:rPr>
        <w:t xml:space="preserve">chiral </w:t>
      </w:r>
      <w:r w:rsidRPr="00EC39EC">
        <w:rPr>
          <w:rFonts w:ascii="Times New Roman" w:hAnsi="Times New Roman" w:cs="Times New Roman"/>
          <w:szCs w:val="24"/>
        </w:rPr>
        <w:t xml:space="preserve">nucleophilic catalysis and </w:t>
      </w:r>
      <w:r>
        <w:rPr>
          <w:rFonts w:ascii="Times New Roman" w:hAnsi="Times New Roman" w:cs="Times New Roman"/>
          <w:szCs w:val="24"/>
        </w:rPr>
        <w:t xml:space="preserve">chiral </w:t>
      </w:r>
      <w:r w:rsidRPr="00EC39EC">
        <w:rPr>
          <w:rFonts w:ascii="Times New Roman" w:hAnsi="Times New Roman" w:cs="Times New Roman"/>
          <w:szCs w:val="24"/>
        </w:rPr>
        <w:t xml:space="preserve">NHC catalysis.  This lecture will present synthetic and mechanistic studies focusing on the discovery and development of selective catalysis directed towards the activation of nucleophiles </w:t>
      </w:r>
      <w:r w:rsidR="0007632B" w:rsidRPr="0007632B">
        <w:rPr>
          <w:rFonts w:ascii="Times New Roman" w:hAnsi="Times New Roman" w:cs="Times New Roman"/>
          <w:szCs w:val="24"/>
        </w:rPr>
        <w:t xml:space="preserve">for a broad range of </w:t>
      </w:r>
      <w:r w:rsidR="0007632B">
        <w:rPr>
          <w:rFonts w:ascii="Times New Roman" w:hAnsi="Times New Roman" w:cs="Times New Roman"/>
          <w:szCs w:val="24"/>
        </w:rPr>
        <w:t>organic</w:t>
      </w:r>
      <w:r w:rsidR="0007632B" w:rsidRPr="0007632B">
        <w:rPr>
          <w:rFonts w:ascii="Times New Roman" w:hAnsi="Times New Roman" w:cs="Times New Roman"/>
          <w:szCs w:val="24"/>
        </w:rPr>
        <w:t xml:space="preserve"> transformations</w:t>
      </w:r>
      <w:r w:rsidR="0007632B">
        <w:rPr>
          <w:rFonts w:ascii="Times New Roman" w:hAnsi="Times New Roman" w:cs="Times New Roman"/>
          <w:szCs w:val="24"/>
        </w:rPr>
        <w:t>.</w:t>
      </w:r>
    </w:p>
    <w:p w:rsidR="004757C3" w:rsidRDefault="004757C3" w:rsidP="005C40E4">
      <w:pPr>
        <w:pStyle w:val="TL-text"/>
        <w:widowControl w:val="0"/>
        <w:tabs>
          <w:tab w:val="left" w:pos="6060"/>
        </w:tabs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E90AF9" w:rsidRDefault="00E90AF9" w:rsidP="005C40E4">
      <w:pPr>
        <w:pStyle w:val="TL-text"/>
        <w:widowControl w:val="0"/>
        <w:tabs>
          <w:tab w:val="left" w:pos="6060"/>
        </w:tabs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EE6BE6" w:rsidRDefault="00EE6BE6" w:rsidP="005C40E4">
      <w:pPr>
        <w:pStyle w:val="TL-text"/>
        <w:widowControl w:val="0"/>
        <w:tabs>
          <w:tab w:val="left" w:pos="6060"/>
        </w:tabs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E90AF9" w:rsidRDefault="00E90AF9" w:rsidP="005C40E4">
      <w:pPr>
        <w:pStyle w:val="TL-text"/>
        <w:widowControl w:val="0"/>
        <w:tabs>
          <w:tab w:val="left" w:pos="6060"/>
        </w:tabs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E90AF9" w:rsidRDefault="00E90AF9" w:rsidP="005C40E4">
      <w:pPr>
        <w:pStyle w:val="TL-text"/>
        <w:widowControl w:val="0"/>
        <w:tabs>
          <w:tab w:val="left" w:pos="6060"/>
        </w:tabs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E157DC" w:rsidRPr="002016EC" w:rsidRDefault="00E157DC" w:rsidP="006C57B5">
      <w:pPr>
        <w:snapToGrid w:val="0"/>
        <w:rPr>
          <w:rFonts w:ascii="Times New Roman" w:hAnsi="Times New Roman"/>
        </w:rPr>
      </w:pPr>
    </w:p>
    <w:p w:rsidR="00E157DC" w:rsidRDefault="00E157DC" w:rsidP="00EA6CC3">
      <w:pPr>
        <w:snapToGrid w:val="0"/>
        <w:ind w:right="22"/>
        <w:rPr>
          <w:rFonts w:ascii="Times New Roman" w:hAnsi="Times New Roman"/>
        </w:rPr>
      </w:pPr>
    </w:p>
    <w:p w:rsidR="00E157DC" w:rsidRDefault="00E157DC" w:rsidP="00EA6CC3">
      <w:pPr>
        <w:pStyle w:val="TL-text"/>
        <w:widowControl w:val="0"/>
        <w:tabs>
          <w:tab w:val="left" w:pos="6060"/>
        </w:tabs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7E3A9B" w:rsidRDefault="007E3A9B" w:rsidP="00EA6CC3">
      <w:pPr>
        <w:pStyle w:val="TL-text"/>
        <w:widowControl w:val="0"/>
        <w:tabs>
          <w:tab w:val="left" w:pos="6060"/>
        </w:tabs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7E3A9B" w:rsidRDefault="007E3A9B" w:rsidP="00EA6CC3">
      <w:pPr>
        <w:pStyle w:val="TL-text"/>
        <w:widowControl w:val="0"/>
        <w:tabs>
          <w:tab w:val="left" w:pos="6060"/>
        </w:tabs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EE6BE6" w:rsidRDefault="00EE6BE6" w:rsidP="00EA6CC3">
      <w:pPr>
        <w:pStyle w:val="TL-text"/>
        <w:widowControl w:val="0"/>
        <w:tabs>
          <w:tab w:val="left" w:pos="6060"/>
        </w:tabs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EE6BE6" w:rsidRDefault="00EE6BE6" w:rsidP="00EA6CC3">
      <w:pPr>
        <w:pStyle w:val="TL-text"/>
        <w:widowControl w:val="0"/>
        <w:tabs>
          <w:tab w:val="left" w:pos="6060"/>
        </w:tabs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EE6BE6" w:rsidRPr="00E157DC" w:rsidRDefault="00EE6BE6" w:rsidP="00EA6CC3">
      <w:pPr>
        <w:pStyle w:val="TL-text"/>
        <w:widowControl w:val="0"/>
        <w:tabs>
          <w:tab w:val="left" w:pos="6060"/>
        </w:tabs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EA4186" w:rsidRPr="008F2121" w:rsidRDefault="00EA4186" w:rsidP="00EA6CC3">
      <w:pPr>
        <w:pStyle w:val="TL-text"/>
        <w:widowControl w:val="0"/>
        <w:tabs>
          <w:tab w:val="left" w:pos="6060"/>
        </w:tabs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CB2437" w:rsidRPr="008F2121" w:rsidRDefault="00CB2437" w:rsidP="00EA6CC3">
      <w:pPr>
        <w:rPr>
          <w:rFonts w:ascii="Times New Roman" w:hAnsi="Times New Roman"/>
        </w:rPr>
      </w:pPr>
    </w:p>
    <w:p w:rsidR="00EA4186" w:rsidRPr="008F2121" w:rsidRDefault="00F859D4" w:rsidP="00EA6CC3">
      <w:pPr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 w:rsidR="00F859D4" w:rsidRDefault="0007632B" w:rsidP="00EA6CC3">
      <w:pPr>
        <w:pStyle w:val="Default"/>
        <w:numPr>
          <w:ilvl w:val="0"/>
          <w:numId w:val="17"/>
        </w:numPr>
        <w:ind w:left="358" w:hangingChars="149" w:hanging="358"/>
        <w:jc w:val="both"/>
      </w:pPr>
      <w:r w:rsidRPr="00FE5920">
        <w:t>Catalytic Asymmetr</w:t>
      </w:r>
      <w:r>
        <w:t xml:space="preserve">ic Umpolung Reactions of Imine, Y. Wu, L. Hu, Z. Li, L. Deng, L. </w:t>
      </w:r>
      <w:r w:rsidRPr="00FE5920">
        <w:rPr>
          <w:i/>
        </w:rPr>
        <w:t>Nature</w:t>
      </w:r>
      <w:r w:rsidRPr="00FE5920">
        <w:t xml:space="preserve"> </w:t>
      </w:r>
      <w:r w:rsidRPr="00FE5920">
        <w:rPr>
          <w:b/>
        </w:rPr>
        <w:t>2015,</w:t>
      </w:r>
      <w:r w:rsidRPr="00FE5920">
        <w:t xml:space="preserve"> </w:t>
      </w:r>
      <w:r w:rsidRPr="00FE5920">
        <w:rPr>
          <w:i/>
        </w:rPr>
        <w:t>523,</w:t>
      </w:r>
      <w:r w:rsidRPr="00FE5920">
        <w:t xml:space="preserve"> 445-450.</w:t>
      </w:r>
      <w:r w:rsidR="00F859D4" w:rsidRPr="008F2121">
        <w:t xml:space="preserve"> </w:t>
      </w:r>
    </w:p>
    <w:p w:rsidR="008E2210" w:rsidRDefault="0007632B" w:rsidP="00EA6CC3">
      <w:pPr>
        <w:pStyle w:val="Default"/>
        <w:numPr>
          <w:ilvl w:val="0"/>
          <w:numId w:val="17"/>
        </w:numPr>
        <w:ind w:left="358" w:hangingChars="149" w:hanging="358"/>
        <w:jc w:val="both"/>
      </w:pPr>
      <w:r w:rsidRPr="00FE5920">
        <w:t>Asymmetric Synthesis of Trifluoromethylated Amines via Catalytic Enantiosel</w:t>
      </w:r>
      <w:r>
        <w:t>ective Isomerization of Imines, Y. Wu.</w:t>
      </w:r>
      <w:r w:rsidRPr="00FE5920">
        <w:t xml:space="preserve"> </w:t>
      </w:r>
      <w:r>
        <w:t>L, Deng</w:t>
      </w:r>
      <w:r w:rsidRPr="00FE5920">
        <w:t xml:space="preserve">. </w:t>
      </w:r>
      <w:r w:rsidRPr="00FE5920">
        <w:rPr>
          <w:i/>
        </w:rPr>
        <w:t>J. Am. Chem. Soc.</w:t>
      </w:r>
      <w:r w:rsidRPr="00FE5920">
        <w:t xml:space="preserve"> </w:t>
      </w:r>
      <w:r w:rsidRPr="00FE5920">
        <w:rPr>
          <w:b/>
        </w:rPr>
        <w:t>2012,</w:t>
      </w:r>
      <w:r w:rsidRPr="00FE5920">
        <w:t xml:space="preserve"> </w:t>
      </w:r>
      <w:r w:rsidRPr="00FE5920">
        <w:rPr>
          <w:i/>
        </w:rPr>
        <w:t>134,</w:t>
      </w:r>
      <w:r w:rsidRPr="00FE5920">
        <w:t xml:space="preserve"> 14334–14337.</w:t>
      </w:r>
    </w:p>
    <w:p w:rsidR="0007632B" w:rsidRDefault="0007632B" w:rsidP="0007632B">
      <w:pPr>
        <w:pStyle w:val="PlainTex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920">
        <w:rPr>
          <w:rFonts w:ascii="Times New Roman" w:hAnsi="Times New Roman" w:cs="Times New Roman"/>
          <w:sz w:val="24"/>
          <w:szCs w:val="24"/>
        </w:rPr>
        <w:t>Asymmetric Olefin Isomerization via Proton Transfer Catalysis with</w:t>
      </w:r>
      <w:r>
        <w:rPr>
          <w:rFonts w:ascii="Times New Roman" w:hAnsi="Times New Roman" w:cs="Times New Roman"/>
          <w:sz w:val="24"/>
          <w:szCs w:val="24"/>
        </w:rPr>
        <w:t xml:space="preserve"> an Organic Molecule,</w:t>
      </w:r>
      <w:r w:rsidRPr="00FE5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Y. Wu,</w:t>
      </w:r>
      <w:r w:rsidRPr="00FE5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FE5920">
        <w:rPr>
          <w:rFonts w:ascii="Times New Roman" w:hAnsi="Times New Roman" w:cs="Times New Roman"/>
          <w:sz w:val="24"/>
          <w:szCs w:val="24"/>
        </w:rPr>
        <w:t xml:space="preserve">Singh, </w:t>
      </w:r>
      <w:r>
        <w:rPr>
          <w:rFonts w:ascii="Times New Roman" w:hAnsi="Times New Roman" w:cs="Times New Roman"/>
          <w:sz w:val="24"/>
          <w:szCs w:val="24"/>
        </w:rPr>
        <w:t>L. Deng</w:t>
      </w:r>
      <w:r w:rsidRPr="00FE5920">
        <w:rPr>
          <w:rFonts w:ascii="Times New Roman" w:hAnsi="Times New Roman" w:cs="Times New Roman"/>
          <w:sz w:val="24"/>
          <w:szCs w:val="24"/>
        </w:rPr>
        <w:t xml:space="preserve">. </w:t>
      </w:r>
      <w:r w:rsidRPr="00FE5920">
        <w:rPr>
          <w:rFonts w:ascii="Times New Roman" w:hAnsi="Times New Roman" w:cs="Times New Roman"/>
          <w:i/>
          <w:sz w:val="24"/>
          <w:szCs w:val="24"/>
        </w:rPr>
        <w:t>J. Am. Chem. Soc.</w:t>
      </w:r>
      <w:r w:rsidRPr="00FE5920">
        <w:rPr>
          <w:rFonts w:ascii="Times New Roman" w:hAnsi="Times New Roman" w:cs="Times New Roman"/>
          <w:sz w:val="24"/>
          <w:szCs w:val="24"/>
        </w:rPr>
        <w:t xml:space="preserve"> </w:t>
      </w:r>
      <w:r w:rsidRPr="00FE5920">
        <w:rPr>
          <w:rFonts w:ascii="Times New Roman" w:hAnsi="Times New Roman" w:cs="Times New Roman"/>
          <w:b/>
          <w:sz w:val="24"/>
          <w:szCs w:val="24"/>
        </w:rPr>
        <w:t>2011,</w:t>
      </w:r>
      <w:r w:rsidRPr="00FE5920">
        <w:rPr>
          <w:rFonts w:ascii="Times New Roman" w:hAnsi="Times New Roman" w:cs="Times New Roman"/>
          <w:sz w:val="24"/>
          <w:szCs w:val="24"/>
        </w:rPr>
        <w:t xml:space="preserve"> </w:t>
      </w:r>
      <w:r w:rsidRPr="00FE5920">
        <w:rPr>
          <w:rFonts w:ascii="Times New Roman" w:hAnsi="Times New Roman" w:cs="Times New Roman"/>
          <w:i/>
          <w:sz w:val="24"/>
          <w:szCs w:val="24"/>
        </w:rPr>
        <w:t>133,</w:t>
      </w:r>
      <w:r w:rsidRPr="00FE5920">
        <w:rPr>
          <w:rFonts w:ascii="Times New Roman" w:hAnsi="Times New Roman" w:cs="Times New Roman"/>
          <w:sz w:val="24"/>
          <w:szCs w:val="24"/>
        </w:rPr>
        <w:t xml:space="preserve"> 12458-12461.</w:t>
      </w:r>
    </w:p>
    <w:p w:rsidR="0007632B" w:rsidRPr="00F859D4" w:rsidRDefault="0007632B" w:rsidP="0007632B">
      <w:pPr>
        <w:pStyle w:val="Default"/>
        <w:ind w:left="358"/>
        <w:jc w:val="both"/>
      </w:pPr>
    </w:p>
    <w:sectPr w:rsidR="0007632B" w:rsidRPr="00F859D4">
      <w:type w:val="continuous"/>
      <w:pgSz w:w="11880" w:h="16820"/>
      <w:pgMar w:top="1418" w:right="1418" w:bottom="1418" w:left="1418" w:header="737" w:footer="737" w:gutter="0"/>
      <w:pgNumType w:start="1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0A" w:rsidRDefault="00B22B0A" w:rsidP="00BA6D77">
      <w:r>
        <w:separator/>
      </w:r>
    </w:p>
  </w:endnote>
  <w:endnote w:type="continuationSeparator" w:id="0">
    <w:p w:rsidR="00B22B0A" w:rsidRDefault="00B22B0A" w:rsidP="00BA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PMincho"/>
    <w:charset w:val="80"/>
    <w:family w:val="auto"/>
    <w:pitch w:val="variable"/>
    <w:sig w:usb0="00000000" w:usb1="00000000" w:usb2="07040001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Times_r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0A" w:rsidRDefault="00B22B0A" w:rsidP="00BA6D77">
      <w:r>
        <w:separator/>
      </w:r>
    </w:p>
  </w:footnote>
  <w:footnote w:type="continuationSeparator" w:id="0">
    <w:p w:rsidR="00B22B0A" w:rsidRDefault="00B22B0A" w:rsidP="00BA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eastAsia="MS PGothic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"/>
      <w:numFmt w:val="decimal"/>
      <w:lvlText w:val="(%1)"/>
      <w:lvlJc w:val="left"/>
      <w:pPr>
        <w:tabs>
          <w:tab w:val="num" w:pos="520"/>
        </w:tabs>
        <w:ind w:left="520" w:hanging="5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520"/>
        </w:tabs>
        <w:ind w:left="520" w:hanging="520"/>
      </w:pPr>
      <w:rPr>
        <w:rFonts w:hint="default"/>
      </w:rPr>
    </w:lvl>
  </w:abstractNum>
  <w:abstractNum w:abstractNumId="3" w15:restartNumberingAfterBreak="0">
    <w:nsid w:val="02151484"/>
    <w:multiLevelType w:val="hybridMultilevel"/>
    <w:tmpl w:val="F2344750"/>
    <w:lvl w:ilvl="0" w:tplc="B366E7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3A3ED2"/>
    <w:multiLevelType w:val="hybridMultilevel"/>
    <w:tmpl w:val="713C7BBC"/>
    <w:lvl w:ilvl="0" w:tplc="5E322330">
      <w:start w:val="1"/>
      <w:numFmt w:val="decimal"/>
      <w:lvlText w:val="(%1)"/>
      <w:lvlJc w:val="right"/>
      <w:pPr>
        <w:tabs>
          <w:tab w:val="num" w:pos="192"/>
        </w:tabs>
        <w:ind w:left="192" w:hanging="192"/>
      </w:pPr>
      <w:rPr>
        <w:rFonts w:ascii="Times" w:hAnsi="Times" w:hint="default"/>
        <w:sz w:val="24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7941BF"/>
    <w:multiLevelType w:val="hybridMultilevel"/>
    <w:tmpl w:val="DF8A7626"/>
    <w:lvl w:ilvl="0" w:tplc="3AFC64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9C0F2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3640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E6D9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7857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96AC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0406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5E50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A0F2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3024A9"/>
    <w:multiLevelType w:val="hybridMultilevel"/>
    <w:tmpl w:val="F9909F4E"/>
    <w:lvl w:ilvl="0" w:tplc="5728E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DD338E"/>
    <w:multiLevelType w:val="hybridMultilevel"/>
    <w:tmpl w:val="1B9EC82C"/>
    <w:lvl w:ilvl="0" w:tplc="C2F869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eastAsia="平成明朝"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5F262F"/>
    <w:multiLevelType w:val="hybridMultilevel"/>
    <w:tmpl w:val="EDE85C38"/>
    <w:lvl w:ilvl="0" w:tplc="31F4C7E8">
      <w:start w:val="1"/>
      <w:numFmt w:val="decimal"/>
      <w:lvlText w:val="%1."/>
      <w:lvlJc w:val="left"/>
      <w:pPr>
        <w:ind w:left="390" w:hanging="39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BA75F7"/>
    <w:multiLevelType w:val="hybridMultilevel"/>
    <w:tmpl w:val="185CC4B4"/>
    <w:lvl w:ilvl="0" w:tplc="16D64E12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color w:val="000000"/>
      </w:rPr>
    </w:lvl>
    <w:lvl w:ilvl="1" w:tplc="9D4253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58A8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FCC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32BC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EE57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BA05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AE9A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D82B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1072BC"/>
    <w:multiLevelType w:val="hybridMultilevel"/>
    <w:tmpl w:val="B044BE2E"/>
    <w:lvl w:ilvl="0" w:tplc="5658CED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color w:val="000000"/>
      </w:rPr>
    </w:lvl>
    <w:lvl w:ilvl="1" w:tplc="94F273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7262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FA87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0697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C22C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0AD5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8EE4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FACB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FA0696"/>
    <w:multiLevelType w:val="hybridMultilevel"/>
    <w:tmpl w:val="E7240EEE"/>
    <w:lvl w:ilvl="0" w:tplc="F2C0450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" w:eastAsia="平成明朝" w:hAnsi="Times" w:hint="default"/>
        <w:color w:val="000000"/>
      </w:rPr>
    </w:lvl>
    <w:lvl w:ilvl="1" w:tplc="FE2C71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40FE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9639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7075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A464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54BB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1E40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4AFB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D17976"/>
    <w:multiLevelType w:val="hybridMultilevel"/>
    <w:tmpl w:val="58E82FE0"/>
    <w:lvl w:ilvl="0" w:tplc="F1DAD052">
      <w:start w:val="1"/>
      <w:numFmt w:val="decimal"/>
      <w:lvlText w:val="(%1)"/>
      <w:lvlJc w:val="left"/>
      <w:pPr>
        <w:ind w:left="360" w:hanging="360"/>
      </w:pPr>
      <w:rPr>
        <w:rFonts w:ascii="Times" w:eastAsia="MS Gothic" w:hAnsi="Times" w:cs="Times New Roman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5825FD"/>
    <w:multiLevelType w:val="hybridMultilevel"/>
    <w:tmpl w:val="FF68BD7C"/>
    <w:lvl w:ilvl="0" w:tplc="A10AA8E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FE5092"/>
    <w:multiLevelType w:val="hybridMultilevel"/>
    <w:tmpl w:val="F68E45E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F92B6B"/>
    <w:multiLevelType w:val="hybridMultilevel"/>
    <w:tmpl w:val="5D120C50"/>
    <w:lvl w:ilvl="0" w:tplc="B8727418">
      <w:start w:val="1"/>
      <w:numFmt w:val="bullet"/>
      <w:lvlText w:val="-"/>
      <w:lvlJc w:val="left"/>
      <w:pPr>
        <w:ind w:left="360" w:hanging="360"/>
      </w:pPr>
      <w:rPr>
        <w:rFonts w:ascii="Times" w:eastAsia="平成明朝" w:hAnsi="Time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F96163"/>
    <w:multiLevelType w:val="hybridMultilevel"/>
    <w:tmpl w:val="C62036A4"/>
    <w:lvl w:ilvl="0" w:tplc="B324DFC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0D255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286E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D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80E1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001F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502F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4487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5EAF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6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8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F9"/>
    <w:rsid w:val="00033C5C"/>
    <w:rsid w:val="000548C2"/>
    <w:rsid w:val="0007632B"/>
    <w:rsid w:val="00102809"/>
    <w:rsid w:val="00124FB8"/>
    <w:rsid w:val="001256B0"/>
    <w:rsid w:val="0013471A"/>
    <w:rsid w:val="00191496"/>
    <w:rsid w:val="001A10E3"/>
    <w:rsid w:val="001A6E0B"/>
    <w:rsid w:val="001D16AD"/>
    <w:rsid w:val="001D700D"/>
    <w:rsid w:val="001F40F9"/>
    <w:rsid w:val="00210648"/>
    <w:rsid w:val="002137C9"/>
    <w:rsid w:val="002168D5"/>
    <w:rsid w:val="00250CF4"/>
    <w:rsid w:val="002C043B"/>
    <w:rsid w:val="00325A47"/>
    <w:rsid w:val="003970E5"/>
    <w:rsid w:val="003A1C15"/>
    <w:rsid w:val="003B29E3"/>
    <w:rsid w:val="003D2F5A"/>
    <w:rsid w:val="003F26C0"/>
    <w:rsid w:val="00422CA7"/>
    <w:rsid w:val="00433CC0"/>
    <w:rsid w:val="00435097"/>
    <w:rsid w:val="0043779C"/>
    <w:rsid w:val="004470EF"/>
    <w:rsid w:val="004757C3"/>
    <w:rsid w:val="004778DD"/>
    <w:rsid w:val="004941C1"/>
    <w:rsid w:val="004E6CEF"/>
    <w:rsid w:val="005149FA"/>
    <w:rsid w:val="00527C45"/>
    <w:rsid w:val="00535A94"/>
    <w:rsid w:val="005422E3"/>
    <w:rsid w:val="00570DAE"/>
    <w:rsid w:val="005A3A7E"/>
    <w:rsid w:val="005C40E4"/>
    <w:rsid w:val="00603078"/>
    <w:rsid w:val="00644BD2"/>
    <w:rsid w:val="00677764"/>
    <w:rsid w:val="006B348B"/>
    <w:rsid w:val="006C57B5"/>
    <w:rsid w:val="006D56D4"/>
    <w:rsid w:val="00707E79"/>
    <w:rsid w:val="0071569F"/>
    <w:rsid w:val="00743468"/>
    <w:rsid w:val="00754E5D"/>
    <w:rsid w:val="00787A21"/>
    <w:rsid w:val="007D6F9E"/>
    <w:rsid w:val="007E3A9B"/>
    <w:rsid w:val="008066A5"/>
    <w:rsid w:val="00824039"/>
    <w:rsid w:val="008E2210"/>
    <w:rsid w:val="008F2121"/>
    <w:rsid w:val="00905543"/>
    <w:rsid w:val="00914C0D"/>
    <w:rsid w:val="009572BA"/>
    <w:rsid w:val="00963776"/>
    <w:rsid w:val="00973A74"/>
    <w:rsid w:val="00974949"/>
    <w:rsid w:val="009B181D"/>
    <w:rsid w:val="009D6C45"/>
    <w:rsid w:val="009E29BE"/>
    <w:rsid w:val="009E6168"/>
    <w:rsid w:val="00A11F63"/>
    <w:rsid w:val="00A455A0"/>
    <w:rsid w:val="00A5481A"/>
    <w:rsid w:val="00A60A7F"/>
    <w:rsid w:val="00A86D64"/>
    <w:rsid w:val="00AC77FC"/>
    <w:rsid w:val="00AD36DD"/>
    <w:rsid w:val="00B22B0A"/>
    <w:rsid w:val="00B2697F"/>
    <w:rsid w:val="00B53E48"/>
    <w:rsid w:val="00BA6D77"/>
    <w:rsid w:val="00BC1F3A"/>
    <w:rsid w:val="00BC2B07"/>
    <w:rsid w:val="00C0118D"/>
    <w:rsid w:val="00C34D38"/>
    <w:rsid w:val="00CB2437"/>
    <w:rsid w:val="00CC5447"/>
    <w:rsid w:val="00D31874"/>
    <w:rsid w:val="00D749BF"/>
    <w:rsid w:val="00DF3B2C"/>
    <w:rsid w:val="00E11CFC"/>
    <w:rsid w:val="00E157DC"/>
    <w:rsid w:val="00E5727B"/>
    <w:rsid w:val="00E60869"/>
    <w:rsid w:val="00E90AF9"/>
    <w:rsid w:val="00EA4186"/>
    <w:rsid w:val="00EA6CC3"/>
    <w:rsid w:val="00EA7E83"/>
    <w:rsid w:val="00EC39EC"/>
    <w:rsid w:val="00EE6BE6"/>
    <w:rsid w:val="00EE7FB0"/>
    <w:rsid w:val="00EF66F9"/>
    <w:rsid w:val="00F4062C"/>
    <w:rsid w:val="00F83F6D"/>
    <w:rsid w:val="00F859D4"/>
    <w:rsid w:val="00FA0388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A8D7363-B1D8-4937-BEB0-2FDC40CE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line="360" w:lineRule="atLeast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/>
      <w:tabs>
        <w:tab w:val="left" w:pos="980"/>
      </w:tabs>
      <w:spacing w:line="360" w:lineRule="atLeast"/>
      <w:ind w:hanging="120"/>
      <w:jc w:val="both"/>
    </w:pPr>
  </w:style>
  <w:style w:type="paragraph" w:styleId="BodyText">
    <w:name w:val="Body Text"/>
    <w:basedOn w:val="Normal"/>
    <w:pPr>
      <w:widowControl/>
      <w:tabs>
        <w:tab w:val="left" w:pos="480"/>
        <w:tab w:val="left" w:pos="840"/>
      </w:tabs>
      <w:spacing w:line="240" w:lineRule="exact"/>
      <w:ind w:right="44"/>
    </w:pPr>
  </w:style>
  <w:style w:type="paragraph" w:styleId="BlockText">
    <w:name w:val="Block Text"/>
    <w:basedOn w:val="Normal"/>
    <w:pPr>
      <w:widowControl/>
      <w:tabs>
        <w:tab w:val="left" w:pos="480"/>
        <w:tab w:val="left" w:pos="840"/>
      </w:tabs>
      <w:spacing w:line="240" w:lineRule="exact"/>
      <w:ind w:left="476" w:right="44" w:hanging="476"/>
    </w:pPr>
  </w:style>
  <w:style w:type="paragraph" w:styleId="BalloonText">
    <w:name w:val="Balloon Text"/>
    <w:basedOn w:val="Normal"/>
    <w:semiHidden/>
    <w:rsid w:val="00EF66F9"/>
    <w:rPr>
      <w:rFonts w:ascii="ヒラギノ角ゴ Pro W3" w:eastAsia="ヒラギノ角ゴ Pro W3"/>
      <w:sz w:val="18"/>
      <w:szCs w:val="18"/>
    </w:rPr>
  </w:style>
  <w:style w:type="character" w:styleId="Hyperlink">
    <w:name w:val="Hyperlink"/>
    <w:rsid w:val="008354B5"/>
    <w:rPr>
      <w:color w:val="0000FF"/>
      <w:u w:val="single"/>
    </w:rPr>
  </w:style>
  <w:style w:type="paragraph" w:styleId="HTMLPreformatted">
    <w:name w:val="HTML Preformatted"/>
    <w:basedOn w:val="Normal"/>
    <w:rsid w:val="00644B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MS Gothic" w:eastAsia="MS Gothic" w:hAnsi="MS Gothic" w:cs="MS Gothic"/>
      <w:color w:val="auto"/>
      <w:szCs w:val="24"/>
    </w:rPr>
  </w:style>
  <w:style w:type="paragraph" w:styleId="Header">
    <w:name w:val="header"/>
    <w:basedOn w:val="Normal"/>
    <w:link w:val="HeaderChar"/>
    <w:rsid w:val="00BA6D7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BA6D77"/>
    <w:rPr>
      <w:color w:val="000000"/>
      <w:sz w:val="24"/>
    </w:rPr>
  </w:style>
  <w:style w:type="paragraph" w:styleId="Footer">
    <w:name w:val="footer"/>
    <w:basedOn w:val="Normal"/>
    <w:link w:val="FooterChar"/>
    <w:rsid w:val="00BA6D7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BA6D77"/>
    <w:rPr>
      <w:color w:val="000000"/>
      <w:sz w:val="24"/>
    </w:rPr>
  </w:style>
  <w:style w:type="paragraph" w:customStyle="1" w:styleId="TL-text">
    <w:name w:val="TL-text"/>
    <w:basedOn w:val="Normal"/>
    <w:rsid w:val="00BA6D77"/>
    <w:pPr>
      <w:widowControl/>
      <w:autoSpaceDE/>
      <w:autoSpaceDN/>
      <w:adjustRightInd/>
      <w:spacing w:line="360" w:lineRule="atLeast"/>
      <w:ind w:firstLine="708"/>
      <w:jc w:val="both"/>
    </w:pPr>
    <w:rPr>
      <w:rFonts w:eastAsia="MS Mincho" w:cs="Helvetica"/>
      <w:color w:val="auto"/>
    </w:rPr>
  </w:style>
  <w:style w:type="character" w:styleId="Emphasis">
    <w:name w:val="Emphasis"/>
    <w:uiPriority w:val="20"/>
    <w:qFormat/>
    <w:rsid w:val="00707E79"/>
    <w:rPr>
      <w:i/>
    </w:rPr>
  </w:style>
  <w:style w:type="character" w:customStyle="1" w:styleId="style41">
    <w:name w:val="style41"/>
    <w:rsid w:val="00707E79"/>
    <w:rPr>
      <w:color w:val="333333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07E79"/>
    <w:pPr>
      <w:autoSpaceDE/>
      <w:autoSpaceDN/>
      <w:adjustRightInd/>
    </w:pPr>
    <w:rPr>
      <w:rFonts w:ascii="MS Gothic" w:eastAsia="MS Gothic" w:hAnsi="Courier New" w:cs="Courier New"/>
      <w:color w:val="auto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707E79"/>
    <w:rPr>
      <w:rFonts w:ascii="MS Gothic" w:eastAsia="MS Gothic" w:hAnsi="Courier New" w:cs="Courier New"/>
      <w:kern w:val="2"/>
      <w:szCs w:val="21"/>
    </w:rPr>
  </w:style>
  <w:style w:type="character" w:customStyle="1" w:styleId="FACorrespondingAuthorFootnoteChar">
    <w:name w:val="FA_Corresponding_Author_Footnote Char"/>
    <w:link w:val="FACorrespondingAuthorFootnote"/>
    <w:rsid w:val="00707E79"/>
    <w:rPr>
      <w:rFonts w:cs="Times"/>
      <w:sz w:val="24"/>
      <w:szCs w:val="24"/>
      <w:lang w:eastAsia="en-US"/>
    </w:rPr>
  </w:style>
  <w:style w:type="paragraph" w:customStyle="1" w:styleId="FACorrespondingAuthorFootnote">
    <w:name w:val="FA_Corresponding_Author_Footnote"/>
    <w:basedOn w:val="Normal"/>
    <w:next w:val="Normal"/>
    <w:link w:val="FACorrespondingAuthorFootnoteChar"/>
    <w:rsid w:val="00707E79"/>
    <w:pPr>
      <w:widowControl/>
      <w:autoSpaceDE/>
      <w:autoSpaceDN/>
      <w:adjustRightInd/>
      <w:spacing w:after="200" w:line="480" w:lineRule="auto"/>
      <w:jc w:val="both"/>
    </w:pPr>
    <w:rPr>
      <w:rFonts w:cs="Times"/>
      <w:color w:val="auto"/>
      <w:szCs w:val="24"/>
      <w:lang w:eastAsia="en-US"/>
    </w:rPr>
  </w:style>
  <w:style w:type="paragraph" w:customStyle="1" w:styleId="ElsGraphTitle">
    <w:name w:val="Els_GraphTitle"/>
    <w:basedOn w:val="Normal"/>
    <w:rsid w:val="004941C1"/>
    <w:pPr>
      <w:keepNext/>
      <w:widowControl/>
      <w:autoSpaceDE/>
      <w:autoSpaceDN/>
      <w:adjustRightInd/>
      <w:spacing w:after="60"/>
      <w:ind w:right="5280"/>
    </w:pPr>
    <w:rPr>
      <w:rFonts w:ascii="Times New Roman" w:eastAsia="MS Mincho" w:hAnsi="Times New Roman"/>
      <w:b/>
      <w:color w:val="auto"/>
      <w:lang w:eastAsia="en-US"/>
    </w:rPr>
  </w:style>
  <w:style w:type="paragraph" w:customStyle="1" w:styleId="Default">
    <w:name w:val="Default"/>
    <w:rsid w:val="004757C3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02PaperAuthors">
    <w:name w:val="02 Paper Authors"/>
    <w:rsid w:val="008E2210"/>
    <w:pPr>
      <w:spacing w:line="240" w:lineRule="exact"/>
    </w:pPr>
    <w:rPr>
      <w:rFonts w:ascii="Times New Roman" w:eastAsia="MS Mincho" w:hAnsi="Times New Roman"/>
      <w:b/>
      <w:noProof/>
      <w:sz w:val="22"/>
      <w:szCs w:val="22"/>
      <w:lang w:val="en-GB" w:eastAsia="en-GB"/>
    </w:rPr>
  </w:style>
  <w:style w:type="character" w:styleId="CommentReference">
    <w:name w:val="annotation reference"/>
    <w:rsid w:val="00F4062C"/>
    <w:rPr>
      <w:sz w:val="18"/>
      <w:szCs w:val="18"/>
    </w:rPr>
  </w:style>
  <w:style w:type="paragraph" w:styleId="CommentText">
    <w:name w:val="annotation text"/>
    <w:basedOn w:val="Normal"/>
    <w:link w:val="CommentTextChar"/>
    <w:rsid w:val="00F4062C"/>
  </w:style>
  <w:style w:type="character" w:customStyle="1" w:styleId="CommentTextChar">
    <w:name w:val="Comment Text Char"/>
    <w:link w:val="CommentText"/>
    <w:rsid w:val="00F4062C"/>
    <w:rPr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F4062C"/>
    <w:rPr>
      <w:b/>
      <w:bCs/>
    </w:rPr>
  </w:style>
  <w:style w:type="character" w:customStyle="1" w:styleId="CommentSubjectChar">
    <w:name w:val="Comment Subject Char"/>
    <w:link w:val="CommentSubject"/>
    <w:rsid w:val="00F4062C"/>
    <w:rPr>
      <w:b/>
      <w:bCs/>
      <w:color w:val="000000"/>
      <w:sz w:val="24"/>
    </w:rPr>
  </w:style>
  <w:style w:type="character" w:styleId="Strong">
    <w:name w:val="Strong"/>
    <w:qFormat/>
    <w:rsid w:val="005422E3"/>
    <w:rPr>
      <w:b/>
      <w:bCs/>
    </w:rPr>
  </w:style>
  <w:style w:type="paragraph" w:styleId="ListParagraph">
    <w:name w:val="List Paragraph"/>
    <w:basedOn w:val="Normal"/>
    <w:uiPriority w:val="34"/>
    <w:qFormat/>
    <w:rsid w:val="00FE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ACB9-6B89-443D-882D-EFB9A2DE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biography.S.Y.</vt:lpstr>
      <vt:lpstr>biography.S.Y.</vt:lpstr>
    </vt:vector>
  </TitlesOfParts>
  <Company>Kyoto University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biography.S.Y.</dc:title>
  <dc:subject/>
  <dc:creator>�s�`�l�`�n</dc:creator>
  <cp:keywords/>
  <cp:lastModifiedBy>Li Deng</cp:lastModifiedBy>
  <cp:revision>4</cp:revision>
  <cp:lastPrinted>2015-11-13T14:21:00Z</cp:lastPrinted>
  <dcterms:created xsi:type="dcterms:W3CDTF">2016-06-07T17:09:00Z</dcterms:created>
  <dcterms:modified xsi:type="dcterms:W3CDTF">2016-06-07T17:28:00Z</dcterms:modified>
</cp:coreProperties>
</file>